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7FB8" w14:textId="5720F0C8" w:rsidR="00057F55" w:rsidRDefault="00AC7365" w:rsidP="00057F55">
      <w:pPr>
        <w:jc w:val="center"/>
        <w:rPr>
          <w:rFonts w:ascii="Cambria" w:hAnsi="Cambria"/>
          <w:b/>
          <w:sz w:val="22"/>
          <w:szCs w:val="22"/>
        </w:rPr>
      </w:pPr>
      <w:r>
        <w:rPr>
          <w:rFonts w:ascii="Cambria" w:hAnsi="Cambria"/>
          <w:b/>
          <w:sz w:val="22"/>
          <w:szCs w:val="22"/>
        </w:rPr>
        <w:t>User Interface Design</w:t>
      </w:r>
    </w:p>
    <w:p w14:paraId="394F69DE" w14:textId="4004BF48" w:rsidR="00D60647" w:rsidRPr="00AC7365" w:rsidRDefault="00D60647" w:rsidP="00057F55">
      <w:pPr>
        <w:jc w:val="center"/>
        <w:rPr>
          <w:rFonts w:ascii="Cambria" w:hAnsi="Cambria"/>
          <w:sz w:val="22"/>
          <w:szCs w:val="22"/>
        </w:rPr>
      </w:pPr>
    </w:p>
    <w:p w14:paraId="34EA7648" w14:textId="6E429683" w:rsidR="00057F55" w:rsidRDefault="00AC7365" w:rsidP="00057F55">
      <w:pPr>
        <w:rPr>
          <w:rFonts w:ascii="Cambria" w:hAnsi="Cambria"/>
          <w:sz w:val="22"/>
          <w:szCs w:val="22"/>
        </w:rPr>
      </w:pPr>
      <w:r>
        <w:rPr>
          <w:rFonts w:ascii="Cambria" w:hAnsi="Cambria"/>
          <w:sz w:val="22"/>
          <w:szCs w:val="22"/>
        </w:rPr>
        <w:t>There are many different principles and guidelines for user interface design</w:t>
      </w:r>
      <w:r w:rsidR="00B7621E">
        <w:rPr>
          <w:rFonts w:ascii="Cambria" w:hAnsi="Cambria"/>
          <w:sz w:val="22"/>
          <w:szCs w:val="22"/>
        </w:rPr>
        <w:t xml:space="preserve"> but </w:t>
      </w:r>
      <w:r w:rsidRPr="00AC7365">
        <w:rPr>
          <w:rFonts w:ascii="Cambria" w:hAnsi="Cambria"/>
          <w:sz w:val="22"/>
          <w:szCs w:val="22"/>
        </w:rPr>
        <w:t>S</w:t>
      </w:r>
      <w:r>
        <w:rPr>
          <w:rFonts w:ascii="Cambria" w:hAnsi="Cambria"/>
          <w:sz w:val="22"/>
          <w:szCs w:val="22"/>
        </w:rPr>
        <w:t>c</w:t>
      </w:r>
      <w:r w:rsidRPr="00AC7365">
        <w:rPr>
          <w:rFonts w:ascii="Cambria" w:hAnsi="Cambria"/>
          <w:sz w:val="22"/>
          <w:szCs w:val="22"/>
        </w:rPr>
        <w:t>hneiderman</w:t>
      </w:r>
      <w:r w:rsidR="00B7621E">
        <w:rPr>
          <w:rFonts w:ascii="Cambria" w:hAnsi="Cambria"/>
          <w:sz w:val="22"/>
          <w:szCs w:val="22"/>
        </w:rPr>
        <w:t xml:space="preserve">’s principles for designing user interfaces </w:t>
      </w:r>
      <w:r w:rsidR="009F4B41">
        <w:rPr>
          <w:rFonts w:ascii="Cambria" w:hAnsi="Cambria"/>
          <w:sz w:val="22"/>
          <w:szCs w:val="22"/>
        </w:rPr>
        <w:t>are</w:t>
      </w:r>
      <w:r w:rsidR="00B7621E">
        <w:rPr>
          <w:rFonts w:ascii="Cambria" w:hAnsi="Cambria"/>
          <w:sz w:val="22"/>
          <w:szCs w:val="22"/>
        </w:rPr>
        <w:t xml:space="preserve"> well known and used by </w:t>
      </w:r>
      <w:r w:rsidR="009F4B41">
        <w:rPr>
          <w:rFonts w:ascii="Cambria" w:hAnsi="Cambria"/>
          <w:sz w:val="22"/>
          <w:szCs w:val="22"/>
        </w:rPr>
        <w:t xml:space="preserve">the IT </w:t>
      </w:r>
      <w:r w:rsidR="00B7621E">
        <w:rPr>
          <w:rFonts w:ascii="Cambria" w:hAnsi="Cambria"/>
          <w:sz w:val="22"/>
          <w:szCs w:val="22"/>
        </w:rPr>
        <w:t xml:space="preserve">industry </w:t>
      </w:r>
      <w:r w:rsidR="00B7621E">
        <w:rPr>
          <w:rFonts w:ascii="Cambria" w:hAnsi="Cambria"/>
          <w:sz w:val="22"/>
          <w:szCs w:val="22"/>
        </w:rPr>
        <w:fldChar w:fldCharType="begin"/>
      </w:r>
      <w:r w:rsidR="0000318B">
        <w:rPr>
          <w:rFonts w:ascii="Cambria" w:hAnsi="Cambria"/>
          <w:sz w:val="22"/>
          <w:szCs w:val="22"/>
        </w:rPr>
        <w:instrText xml:space="preserve"> ADDIN EN.CITE &lt;EndNote&gt;&lt;Cite&gt;&lt;Author&gt;Shneiderman&lt;/Author&gt;&lt;Year&gt;2016&lt;/Year&gt;&lt;RecNum&gt;1672&lt;/RecNum&gt;&lt;DisplayText&gt;(Shneiderman et al., 2016)&lt;/DisplayText&gt;&lt;record&gt;&lt;rec-number&gt;1672&lt;/rec-number&gt;&lt;foreign-keys&gt;&lt;key app="EN" db-id="rdpzfd0f2edpduewrz755azk22app2x5aews" timestamp="1599517639"&gt;1672&lt;/key&gt;&lt;/foreign-keys&gt;&lt;ref-type name="Book"&gt;6&lt;/ref-type&gt;&lt;contributors&gt;&lt;authors&gt;&lt;author&gt;Ben Shneiderman&lt;/author&gt;&lt;author&gt;Catherine Plaisant&lt;/author&gt;&lt;author&gt;Maxine Cohen&lt;/author&gt;&lt;author&gt;Steven Jacobs&lt;/author&gt;&lt;author&gt;Niklas Elmqvist&lt;/author&gt;&lt;author&gt;Nicholas Diakopoulos&lt;/author&gt;&lt;/authors&gt;&lt;/contributors&gt;&lt;titles&gt;&lt;title&gt;Designing the User Interface: Strategies for Effective Human-Computer Interaction&lt;/title&gt;&lt;/titles&gt;&lt;dates&gt;&lt;year&gt;2016&lt;/year&gt;&lt;/dates&gt;&lt;publisher&gt;Pearson&lt;/publisher&gt;&lt;isbn&gt;013438038X&lt;/isbn&gt;&lt;urls&gt;&lt;/urls&gt;&lt;/record&gt;&lt;/Cite&gt;&lt;/EndNote&gt;</w:instrText>
      </w:r>
      <w:r w:rsidR="00B7621E">
        <w:rPr>
          <w:rFonts w:ascii="Cambria" w:hAnsi="Cambria"/>
          <w:sz w:val="22"/>
          <w:szCs w:val="22"/>
        </w:rPr>
        <w:fldChar w:fldCharType="separate"/>
      </w:r>
      <w:r w:rsidR="0000318B">
        <w:rPr>
          <w:rFonts w:ascii="Cambria" w:hAnsi="Cambria"/>
          <w:noProof/>
          <w:sz w:val="22"/>
          <w:szCs w:val="22"/>
        </w:rPr>
        <w:t>(Shneiderman et al., 2016)</w:t>
      </w:r>
      <w:r w:rsidR="00B7621E">
        <w:rPr>
          <w:rFonts w:ascii="Cambria" w:hAnsi="Cambria"/>
          <w:sz w:val="22"/>
          <w:szCs w:val="22"/>
        </w:rPr>
        <w:fldChar w:fldCharType="end"/>
      </w:r>
      <w:r>
        <w:rPr>
          <w:rFonts w:ascii="Cambria" w:hAnsi="Cambria"/>
          <w:sz w:val="22"/>
          <w:szCs w:val="22"/>
        </w:rPr>
        <w:t xml:space="preserve">. </w:t>
      </w:r>
      <w:r w:rsidR="00B7621E">
        <w:rPr>
          <w:rFonts w:ascii="Cambria" w:hAnsi="Cambria"/>
          <w:sz w:val="22"/>
          <w:szCs w:val="22"/>
        </w:rPr>
        <w:t xml:space="preserve">This </w:t>
      </w:r>
      <w:r w:rsidR="00574402">
        <w:rPr>
          <w:rFonts w:ascii="Cambria" w:hAnsi="Cambria"/>
          <w:sz w:val="22"/>
          <w:szCs w:val="22"/>
        </w:rPr>
        <w:t xml:space="preserve">traditional </w:t>
      </w:r>
      <w:r w:rsidR="00B7621E">
        <w:rPr>
          <w:rFonts w:ascii="Cambria" w:hAnsi="Cambria"/>
          <w:sz w:val="22"/>
          <w:szCs w:val="22"/>
        </w:rPr>
        <w:t xml:space="preserve">set of </w:t>
      </w:r>
      <w:r w:rsidR="00574402">
        <w:rPr>
          <w:rFonts w:ascii="Cambria" w:hAnsi="Cambria"/>
          <w:sz w:val="22"/>
          <w:szCs w:val="22"/>
        </w:rPr>
        <w:t xml:space="preserve">guidelines </w:t>
      </w:r>
      <w:r w:rsidR="00B7621E">
        <w:rPr>
          <w:rFonts w:ascii="Cambria" w:hAnsi="Cambria"/>
          <w:sz w:val="22"/>
          <w:szCs w:val="22"/>
        </w:rPr>
        <w:t>is called the 8 gold</w:t>
      </w:r>
      <w:r w:rsidR="00574402">
        <w:rPr>
          <w:rFonts w:ascii="Cambria" w:hAnsi="Cambria"/>
          <w:sz w:val="22"/>
          <w:szCs w:val="22"/>
        </w:rPr>
        <w:t>en rules of interface design (see Figure 1)</w:t>
      </w:r>
    </w:p>
    <w:p w14:paraId="25C7F00F" w14:textId="77777777" w:rsidR="00AC7365" w:rsidRDefault="00AC7365" w:rsidP="00057F55">
      <w:pPr>
        <w:rPr>
          <w:rFonts w:ascii="Cambria" w:hAnsi="Cambria"/>
          <w:sz w:val="22"/>
          <w:szCs w:val="22"/>
        </w:rPr>
      </w:pPr>
    </w:p>
    <w:p w14:paraId="09AEF4F9" w14:textId="26205F5C" w:rsidR="00AC7365" w:rsidRDefault="00AC7365" w:rsidP="00057F55">
      <w:pPr>
        <w:rPr>
          <w:rFonts w:ascii="Cambria" w:hAnsi="Cambria"/>
          <w:sz w:val="22"/>
          <w:szCs w:val="22"/>
        </w:rPr>
      </w:pPr>
    </w:p>
    <w:p w14:paraId="495C1637" w14:textId="77777777" w:rsidR="00574402" w:rsidRDefault="00AC7365" w:rsidP="00574402">
      <w:pPr>
        <w:keepNext/>
      </w:pPr>
      <w:r w:rsidRPr="00AC7365">
        <w:rPr>
          <w:rFonts w:ascii="Cambria" w:hAnsi="Cambria"/>
          <w:noProof/>
          <w:sz w:val="22"/>
          <w:szCs w:val="22"/>
          <w:lang w:val="en-NZ" w:eastAsia="en-NZ"/>
        </w:rPr>
        <w:drawing>
          <wp:inline distT="0" distB="0" distL="0" distR="0" wp14:anchorId="68DF462A" wp14:editId="53671BCE">
            <wp:extent cx="5731510" cy="2507615"/>
            <wp:effectExtent l="0" t="0" r="2540" b="6985"/>
            <wp:docPr id="20485"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5" name="Picture 17"/>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1510" cy="2507615"/>
                    </a:xfrm>
                    <a:prstGeom prst="rect">
                      <a:avLst/>
                    </a:prstGeom>
                    <a:noFill/>
                  </pic:spPr>
                </pic:pic>
              </a:graphicData>
            </a:graphic>
          </wp:inline>
        </w:drawing>
      </w:r>
    </w:p>
    <w:p w14:paraId="42F715A1" w14:textId="14392C13" w:rsidR="00AC7365" w:rsidRPr="00574402" w:rsidRDefault="00574402" w:rsidP="00574402">
      <w:pPr>
        <w:pStyle w:val="Caption"/>
        <w:rPr>
          <w:rFonts w:ascii="Cambria" w:hAnsi="Cambria"/>
          <w:color w:val="auto"/>
          <w:sz w:val="28"/>
          <w:szCs w:val="22"/>
        </w:rPr>
      </w:pPr>
      <w:r w:rsidRPr="00574402">
        <w:rPr>
          <w:color w:val="auto"/>
          <w:sz w:val="22"/>
        </w:rPr>
        <w:t xml:space="preserve">Figure </w:t>
      </w:r>
      <w:r w:rsidRPr="00574402">
        <w:rPr>
          <w:color w:val="auto"/>
          <w:sz w:val="22"/>
        </w:rPr>
        <w:fldChar w:fldCharType="begin"/>
      </w:r>
      <w:r w:rsidRPr="00574402">
        <w:rPr>
          <w:color w:val="auto"/>
          <w:sz w:val="22"/>
        </w:rPr>
        <w:instrText xml:space="preserve"> SEQ Figure \* ARABIC </w:instrText>
      </w:r>
      <w:r w:rsidRPr="00574402">
        <w:rPr>
          <w:color w:val="auto"/>
          <w:sz w:val="22"/>
        </w:rPr>
        <w:fldChar w:fldCharType="separate"/>
      </w:r>
      <w:r w:rsidRPr="00574402">
        <w:rPr>
          <w:noProof/>
          <w:color w:val="auto"/>
          <w:sz w:val="22"/>
        </w:rPr>
        <w:t>1</w:t>
      </w:r>
      <w:r w:rsidRPr="00574402">
        <w:rPr>
          <w:color w:val="auto"/>
          <w:sz w:val="22"/>
        </w:rPr>
        <w:fldChar w:fldCharType="end"/>
      </w:r>
      <w:r w:rsidRPr="00574402">
        <w:rPr>
          <w:color w:val="auto"/>
          <w:sz w:val="22"/>
        </w:rPr>
        <w:t xml:space="preserve"> From Satzinger, Jackson and </w:t>
      </w:r>
      <w:proofErr w:type="spellStart"/>
      <w:r w:rsidRPr="00574402">
        <w:rPr>
          <w:color w:val="auto"/>
          <w:sz w:val="22"/>
        </w:rPr>
        <w:t>Burd</w:t>
      </w:r>
      <w:proofErr w:type="spellEnd"/>
      <w:r w:rsidRPr="00574402">
        <w:rPr>
          <w:color w:val="auto"/>
          <w:sz w:val="22"/>
        </w:rPr>
        <w:t xml:space="preserve"> (2015). </w:t>
      </w:r>
    </w:p>
    <w:p w14:paraId="1F3BE699" w14:textId="77777777" w:rsidR="00AC7365" w:rsidRDefault="00AC7365" w:rsidP="00057F55">
      <w:pPr>
        <w:rPr>
          <w:rFonts w:ascii="Cambria" w:hAnsi="Cambria"/>
          <w:sz w:val="22"/>
          <w:szCs w:val="22"/>
        </w:rPr>
      </w:pPr>
    </w:p>
    <w:p w14:paraId="27FEC6C4" w14:textId="0256DEE8" w:rsidR="00AC7365" w:rsidRDefault="00AC7365" w:rsidP="00057F55">
      <w:pPr>
        <w:rPr>
          <w:rFonts w:ascii="Cambria" w:hAnsi="Cambria"/>
          <w:sz w:val="22"/>
          <w:szCs w:val="22"/>
        </w:rPr>
      </w:pPr>
      <w:r>
        <w:rPr>
          <w:rFonts w:ascii="Cambria" w:hAnsi="Cambria"/>
          <w:sz w:val="22"/>
          <w:szCs w:val="22"/>
        </w:rPr>
        <w:t xml:space="preserve">The </w:t>
      </w:r>
      <w:r w:rsidR="00574402">
        <w:rPr>
          <w:rFonts w:ascii="Cambria" w:hAnsi="Cambria"/>
          <w:sz w:val="22"/>
          <w:szCs w:val="22"/>
        </w:rPr>
        <w:t xml:space="preserve">eight golden </w:t>
      </w:r>
      <w:r>
        <w:rPr>
          <w:rFonts w:ascii="Cambria" w:hAnsi="Cambria"/>
          <w:sz w:val="22"/>
          <w:szCs w:val="22"/>
        </w:rPr>
        <w:t xml:space="preserve">rules are defined as follows. </w:t>
      </w:r>
    </w:p>
    <w:p w14:paraId="1EB8A7B7" w14:textId="77777777"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Strive for consistency.</w:t>
      </w:r>
      <w:r w:rsidRPr="00AC7365">
        <w:rPr>
          <w:rFonts w:ascii="Cambria" w:hAnsi="Cambria"/>
          <w:b/>
          <w:sz w:val="22"/>
          <w:szCs w:val="22"/>
          <w:lang w:val="en-AU" w:eastAsia="en-US"/>
        </w:rPr>
        <w:br/>
      </w:r>
      <w:r w:rsidRPr="00AC7365">
        <w:rPr>
          <w:rFonts w:ascii="Cambria" w:hAnsi="Cambria"/>
          <w:sz w:val="22"/>
          <w:szCs w:val="22"/>
          <w:lang w:val="en-AU" w:eastAsia="en-US"/>
        </w:rPr>
        <w:t>Consistent sequences of actions should be required in similar situations; identical terminology should be used in prompts, menus, and help screens; and consistent commands should be employed throughout.</w:t>
      </w:r>
    </w:p>
    <w:p w14:paraId="6BB4E390" w14:textId="77777777"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Enable frequent users to use shortcuts.</w:t>
      </w:r>
      <w:r w:rsidRPr="00AC7365">
        <w:rPr>
          <w:rFonts w:ascii="Cambria" w:hAnsi="Cambria"/>
          <w:b/>
          <w:sz w:val="22"/>
          <w:szCs w:val="22"/>
          <w:lang w:val="en-AU" w:eastAsia="en-US"/>
        </w:rPr>
        <w:br/>
      </w:r>
      <w:r w:rsidRPr="00AC7365">
        <w:rPr>
          <w:rFonts w:ascii="Cambria" w:hAnsi="Cambria"/>
          <w:sz w:val="22"/>
          <w:szCs w:val="22"/>
          <w:lang w:val="en-AU" w:eastAsia="en-US"/>
        </w:rPr>
        <w:t>As the frequency of use increases, so do the user's desires to reduce the number of interactions and to increase the pace of interaction. Abbreviations, function keys, hidden commands, and macro facilities are very helpful to an expert user.</w:t>
      </w:r>
    </w:p>
    <w:p w14:paraId="619F2DCF" w14:textId="77777777"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Offer informative feedback.</w:t>
      </w:r>
      <w:r w:rsidRPr="00AC7365">
        <w:rPr>
          <w:rFonts w:ascii="Cambria" w:hAnsi="Cambria"/>
          <w:b/>
          <w:sz w:val="22"/>
          <w:szCs w:val="22"/>
          <w:lang w:val="en-AU" w:eastAsia="en-US"/>
        </w:rPr>
        <w:br/>
      </w:r>
      <w:r w:rsidRPr="00AC7365">
        <w:rPr>
          <w:rFonts w:ascii="Cambria" w:hAnsi="Cambria"/>
          <w:sz w:val="22"/>
          <w:szCs w:val="22"/>
          <w:lang w:val="en-AU" w:eastAsia="en-US"/>
        </w:rPr>
        <w:t>For every operator action, there should be some system feedback. For frequent and minor actions, the response can be modest, while for infrequent and major actions, the response should be more substantial.</w:t>
      </w:r>
    </w:p>
    <w:p w14:paraId="4AA21033" w14:textId="77777777"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Design dialog to yield closure.</w:t>
      </w:r>
      <w:r w:rsidRPr="00AC7365">
        <w:rPr>
          <w:rFonts w:ascii="Cambria" w:hAnsi="Cambria"/>
          <w:b/>
          <w:sz w:val="22"/>
          <w:szCs w:val="22"/>
          <w:lang w:val="en-AU" w:eastAsia="en-US"/>
        </w:rPr>
        <w:br/>
      </w:r>
      <w:r w:rsidRPr="00AC7365">
        <w:rPr>
          <w:rFonts w:ascii="Cambria" w:hAnsi="Cambria"/>
          <w:sz w:val="22"/>
          <w:szCs w:val="22"/>
          <w:lang w:val="en-AU" w:eastAsia="en-US"/>
        </w:rPr>
        <w:t>Sequences of actions should be organized into groups with a beginning, middle, and end. The informative feedback at the completion of a group of actions gives the operators the satisfaction of accomplishment, a sense of relief, the signal to drop contingency plans and options from their minds, and an indication that the way is clear to prepare for the next group of actions.</w:t>
      </w:r>
    </w:p>
    <w:p w14:paraId="4A1336C8" w14:textId="77777777"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Offer simple error handling.</w:t>
      </w:r>
      <w:r w:rsidRPr="00AC7365">
        <w:rPr>
          <w:rFonts w:ascii="Cambria" w:hAnsi="Cambria"/>
          <w:b/>
          <w:sz w:val="22"/>
          <w:szCs w:val="22"/>
          <w:lang w:val="en-AU" w:eastAsia="en-US"/>
        </w:rPr>
        <w:br/>
      </w:r>
      <w:r w:rsidRPr="00AC7365">
        <w:rPr>
          <w:rFonts w:ascii="Cambria" w:hAnsi="Cambria"/>
          <w:sz w:val="22"/>
          <w:szCs w:val="22"/>
          <w:lang w:val="en-AU" w:eastAsia="en-US"/>
        </w:rPr>
        <w:t>As much as possible, design the system so the user cannot make a serious error. If an error is made, the system should be able to detect the error and offer simple, comprehensible mechanisms for handling the error.</w:t>
      </w:r>
    </w:p>
    <w:p w14:paraId="6CDB6325" w14:textId="57312D80"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Permit easy reversal of actions.</w:t>
      </w:r>
      <w:r w:rsidRPr="00AC7365">
        <w:rPr>
          <w:rFonts w:ascii="Cambria" w:hAnsi="Cambria"/>
          <w:b/>
          <w:sz w:val="22"/>
          <w:szCs w:val="22"/>
          <w:lang w:val="en-AU" w:eastAsia="en-US"/>
        </w:rPr>
        <w:br/>
      </w:r>
      <w:r w:rsidRPr="00AC7365">
        <w:rPr>
          <w:rFonts w:ascii="Cambria" w:hAnsi="Cambria"/>
          <w:sz w:val="22"/>
          <w:szCs w:val="22"/>
          <w:lang w:val="en-AU" w:eastAsia="en-US"/>
        </w:rPr>
        <w:t xml:space="preserve">This feature relieves anxiety since the user knows that errors can be undone; it thus </w:t>
      </w:r>
      <w:r w:rsidRPr="00AC7365">
        <w:rPr>
          <w:rFonts w:ascii="Cambria" w:hAnsi="Cambria"/>
          <w:sz w:val="22"/>
          <w:szCs w:val="22"/>
          <w:lang w:val="en-AU" w:eastAsia="en-US"/>
        </w:rPr>
        <w:lastRenderedPageBreak/>
        <w:t>encourages exploration of unfamiliar options. The units of reversibility may be a single action, a data entry, or a complete group of actions.</w:t>
      </w:r>
    </w:p>
    <w:p w14:paraId="27F478AA" w14:textId="77777777" w:rsid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AC7365">
        <w:rPr>
          <w:rFonts w:ascii="Cambria" w:hAnsi="Cambria"/>
          <w:b/>
          <w:sz w:val="22"/>
          <w:szCs w:val="22"/>
          <w:lang w:val="en-AU" w:eastAsia="en-US"/>
        </w:rPr>
        <w:t>Support internal locus of control.</w:t>
      </w:r>
      <w:r w:rsidRPr="00AC7365">
        <w:rPr>
          <w:rFonts w:ascii="Cambria" w:hAnsi="Cambria"/>
          <w:b/>
          <w:sz w:val="22"/>
          <w:szCs w:val="22"/>
          <w:lang w:val="en-AU" w:eastAsia="en-US"/>
        </w:rPr>
        <w:br/>
      </w:r>
      <w:r w:rsidRPr="00AC7365">
        <w:rPr>
          <w:rFonts w:ascii="Cambria" w:hAnsi="Cambria"/>
          <w:sz w:val="22"/>
          <w:szCs w:val="22"/>
          <w:lang w:val="en-AU" w:eastAsia="en-US"/>
        </w:rPr>
        <w:t>Experienced operators strongly desire the sense that they are in charge of the system and that the system responds to their actions. Design the system to make users the initiators of actions rather than the responders.</w:t>
      </w:r>
    </w:p>
    <w:p w14:paraId="597CDDBA" w14:textId="22EE3859" w:rsidR="00AC7365" w:rsidRPr="00AC7365" w:rsidRDefault="00AC7365" w:rsidP="00574402">
      <w:pPr>
        <w:pStyle w:val="NormalWeb"/>
        <w:numPr>
          <w:ilvl w:val="0"/>
          <w:numId w:val="16"/>
        </w:numPr>
        <w:spacing w:before="120" w:beforeAutospacing="0" w:after="120" w:afterAutospacing="0"/>
        <w:ind w:left="714" w:hanging="357"/>
        <w:rPr>
          <w:rFonts w:ascii="Cambria" w:hAnsi="Cambria"/>
          <w:sz w:val="22"/>
          <w:szCs w:val="22"/>
          <w:lang w:val="en-AU" w:eastAsia="en-US"/>
        </w:rPr>
      </w:pPr>
      <w:r w:rsidRPr="00661EF2">
        <w:rPr>
          <w:rFonts w:ascii="Cambria" w:hAnsi="Cambria"/>
          <w:b/>
          <w:sz w:val="22"/>
          <w:szCs w:val="22"/>
          <w:lang w:val="en-AU" w:eastAsia="en-US"/>
        </w:rPr>
        <w:t>Reduce short-term memory load.</w:t>
      </w:r>
      <w:r w:rsidRPr="00661EF2">
        <w:rPr>
          <w:rFonts w:ascii="Cambria" w:hAnsi="Cambria"/>
          <w:b/>
          <w:sz w:val="22"/>
          <w:szCs w:val="22"/>
          <w:lang w:val="en-AU" w:eastAsia="en-US"/>
        </w:rPr>
        <w:br/>
      </w:r>
      <w:r w:rsidRPr="00AC7365">
        <w:rPr>
          <w:rFonts w:ascii="Cambria" w:hAnsi="Cambria"/>
          <w:sz w:val="22"/>
          <w:szCs w:val="22"/>
          <w:lang w:val="en-AU" w:eastAsia="en-US"/>
        </w:rPr>
        <w:t>The limitation of human information processing in short-term memory requires that displays be kept simple, multiple page displays be consolidated, window-motion frequency be reduced, and sufficient training time be allotted for codes, mnemonics, and sequences of actions.</w:t>
      </w:r>
    </w:p>
    <w:p w14:paraId="48DB1B17" w14:textId="3AD3FD84" w:rsidR="00DF70A3" w:rsidRPr="00CB7F6B" w:rsidRDefault="00DF70A3" w:rsidP="00DF70A3">
      <w:pPr>
        <w:pStyle w:val="Heading1"/>
      </w:pPr>
      <w:r>
        <w:t xml:space="preserve">Tutorial </w:t>
      </w:r>
      <w:r w:rsidR="008069EF">
        <w:t>overview</w:t>
      </w:r>
    </w:p>
    <w:p w14:paraId="23EC70EA" w14:textId="15DA0A28" w:rsidR="00AC7365" w:rsidRDefault="00AC7365" w:rsidP="004C13D1">
      <w:pPr>
        <w:rPr>
          <w:rFonts w:ascii="Cambria" w:hAnsi="Cambria"/>
          <w:sz w:val="22"/>
          <w:szCs w:val="22"/>
        </w:rPr>
      </w:pPr>
      <w:r>
        <w:rPr>
          <w:rFonts w:ascii="Cambria" w:hAnsi="Cambria"/>
          <w:sz w:val="22"/>
          <w:szCs w:val="22"/>
        </w:rPr>
        <w:t xml:space="preserve">Apply the 8 golden rules </w:t>
      </w:r>
      <w:r w:rsidR="00661EF2">
        <w:rPr>
          <w:rFonts w:ascii="Cambria" w:hAnsi="Cambria"/>
          <w:sz w:val="22"/>
          <w:szCs w:val="22"/>
        </w:rPr>
        <w:t xml:space="preserve">of user interface design </w:t>
      </w:r>
      <w:r>
        <w:rPr>
          <w:rFonts w:ascii="Cambria" w:hAnsi="Cambria"/>
          <w:sz w:val="22"/>
          <w:szCs w:val="22"/>
        </w:rPr>
        <w:t>to analyse a commonly used e-commerce</w:t>
      </w:r>
      <w:r w:rsidR="00F054D4">
        <w:rPr>
          <w:rStyle w:val="EndnoteReference"/>
          <w:rFonts w:ascii="Cambria" w:hAnsi="Cambria"/>
          <w:sz w:val="22"/>
          <w:szCs w:val="22"/>
        </w:rPr>
        <w:endnoteReference w:id="1"/>
      </w:r>
      <w:r>
        <w:rPr>
          <w:rFonts w:ascii="Cambria" w:hAnsi="Cambria"/>
          <w:sz w:val="22"/>
          <w:szCs w:val="22"/>
        </w:rPr>
        <w:t xml:space="preserve"> site (</w:t>
      </w:r>
      <w:r w:rsidR="00F054D4">
        <w:rPr>
          <w:rFonts w:ascii="Cambria" w:hAnsi="Cambria"/>
          <w:sz w:val="22"/>
          <w:szCs w:val="22"/>
        </w:rPr>
        <w:t>e.g.,</w:t>
      </w:r>
      <w:r>
        <w:rPr>
          <w:rFonts w:ascii="Cambria" w:hAnsi="Cambria"/>
          <w:sz w:val="22"/>
          <w:szCs w:val="22"/>
        </w:rPr>
        <w:t xml:space="preserve"> Harvey Normans, Amazon, Trademe, Vodafone). </w:t>
      </w:r>
    </w:p>
    <w:p w14:paraId="68C46949" w14:textId="5207FDAB" w:rsidR="0000318B" w:rsidRDefault="0000318B" w:rsidP="004C13D1">
      <w:pPr>
        <w:rPr>
          <w:rFonts w:ascii="Cambria" w:hAnsi="Cambria"/>
          <w:sz w:val="22"/>
          <w:szCs w:val="22"/>
        </w:rPr>
      </w:pPr>
    </w:p>
    <w:p w14:paraId="179B7565" w14:textId="6000267D" w:rsidR="0000318B" w:rsidRPr="0000318B" w:rsidRDefault="0000318B" w:rsidP="004C13D1">
      <w:pPr>
        <w:rPr>
          <w:rFonts w:ascii="Cambria" w:hAnsi="Cambria"/>
          <w:b/>
          <w:bCs/>
          <w:sz w:val="22"/>
          <w:szCs w:val="22"/>
        </w:rPr>
      </w:pPr>
      <w:r w:rsidRPr="0000318B">
        <w:rPr>
          <w:rFonts w:ascii="Cambria" w:hAnsi="Cambria"/>
          <w:b/>
          <w:bCs/>
          <w:sz w:val="22"/>
          <w:szCs w:val="22"/>
        </w:rPr>
        <w:t>Preparation</w:t>
      </w:r>
    </w:p>
    <w:p w14:paraId="00D167AD" w14:textId="0EA3AAAD" w:rsidR="0000318B" w:rsidRDefault="0000318B" w:rsidP="004C13D1">
      <w:pPr>
        <w:rPr>
          <w:rFonts w:ascii="Cambria" w:hAnsi="Cambria"/>
          <w:sz w:val="22"/>
          <w:szCs w:val="22"/>
        </w:rPr>
      </w:pPr>
      <w:r>
        <w:rPr>
          <w:rFonts w:ascii="Cambria" w:hAnsi="Cambria"/>
          <w:sz w:val="22"/>
          <w:szCs w:val="22"/>
        </w:rPr>
        <w:t>Read this website that provides examples of each of the eight golden rules</w:t>
      </w:r>
      <w:r w:rsidR="003E29AE">
        <w:rPr>
          <w:rFonts w:ascii="Cambria" w:hAnsi="Cambria"/>
          <w:sz w:val="22"/>
          <w:szCs w:val="22"/>
        </w:rPr>
        <w:t xml:space="preserve"> (this link is also shown on the Moodle Resources tab)</w:t>
      </w:r>
      <w:r>
        <w:rPr>
          <w:rFonts w:ascii="Cambria" w:hAnsi="Cambria"/>
          <w:sz w:val="22"/>
          <w:szCs w:val="22"/>
        </w:rPr>
        <w:t>:</w:t>
      </w:r>
    </w:p>
    <w:p w14:paraId="34473A47" w14:textId="43993181" w:rsidR="0000318B" w:rsidRDefault="0000318B" w:rsidP="004C13D1">
      <w:pPr>
        <w:rPr>
          <w:rFonts w:ascii="Cambria" w:hAnsi="Cambria"/>
          <w:sz w:val="22"/>
          <w:szCs w:val="22"/>
        </w:rPr>
      </w:pPr>
      <w:hyperlink r:id="rId9" w:history="1">
        <w:r w:rsidRPr="00483CB8">
          <w:rPr>
            <w:rStyle w:val="Hyperlink"/>
            <w:rFonts w:ascii="Cambria" w:hAnsi="Cambria"/>
            <w:sz w:val="22"/>
            <w:szCs w:val="22"/>
          </w:rPr>
          <w:t>https://webdesign.tutsplus.com/articles/8-golden-rules-for-better-interface-design--cms-30886</w:t>
        </w:r>
      </w:hyperlink>
    </w:p>
    <w:p w14:paraId="7EED6EBC" w14:textId="77777777" w:rsidR="00DC5B34" w:rsidRDefault="00DC5B34" w:rsidP="004C13D1">
      <w:pPr>
        <w:rPr>
          <w:rFonts w:ascii="Cambria" w:hAnsi="Cambria"/>
          <w:sz w:val="22"/>
          <w:szCs w:val="22"/>
        </w:rPr>
      </w:pPr>
    </w:p>
    <w:p w14:paraId="3877FF5B" w14:textId="61501A60" w:rsidR="00057F55" w:rsidRPr="005F3F9E" w:rsidRDefault="000356F8" w:rsidP="00057F55">
      <w:pPr>
        <w:pStyle w:val="Heading1"/>
        <w:rPr>
          <w:rFonts w:ascii="Cambria" w:hAnsi="Cambria"/>
          <w:sz w:val="22"/>
          <w:szCs w:val="22"/>
        </w:rPr>
      </w:pPr>
      <w:r>
        <w:rPr>
          <w:rFonts w:ascii="Cambria" w:hAnsi="Cambria"/>
          <w:sz w:val="22"/>
          <w:szCs w:val="22"/>
        </w:rPr>
        <w:t>What to do</w:t>
      </w:r>
    </w:p>
    <w:p w14:paraId="1E0FD522" w14:textId="682C911F" w:rsidR="00AC7365" w:rsidRDefault="00574402" w:rsidP="00057F55">
      <w:pPr>
        <w:numPr>
          <w:ilvl w:val="0"/>
          <w:numId w:val="1"/>
        </w:numPr>
        <w:spacing w:after="120"/>
        <w:ind w:left="714" w:hanging="357"/>
        <w:rPr>
          <w:rFonts w:ascii="Cambria" w:hAnsi="Cambria"/>
          <w:sz w:val="22"/>
          <w:szCs w:val="22"/>
        </w:rPr>
      </w:pPr>
      <w:r>
        <w:rPr>
          <w:rFonts w:ascii="Cambria" w:hAnsi="Cambria"/>
          <w:sz w:val="22"/>
          <w:szCs w:val="22"/>
        </w:rPr>
        <w:t>Choose</w:t>
      </w:r>
      <w:r w:rsidR="00AC7365">
        <w:rPr>
          <w:rFonts w:ascii="Cambria" w:hAnsi="Cambria"/>
          <w:sz w:val="22"/>
          <w:szCs w:val="22"/>
        </w:rPr>
        <w:t xml:space="preserve"> an appropriate e-commerce site that is </w:t>
      </w:r>
      <w:r w:rsidR="00661EF2">
        <w:rPr>
          <w:rFonts w:ascii="Cambria" w:hAnsi="Cambria"/>
          <w:sz w:val="22"/>
          <w:szCs w:val="22"/>
        </w:rPr>
        <w:t>published</w:t>
      </w:r>
      <w:r w:rsidR="00AC7365">
        <w:rPr>
          <w:rFonts w:ascii="Cambria" w:hAnsi="Cambria"/>
          <w:sz w:val="22"/>
          <w:szCs w:val="22"/>
        </w:rPr>
        <w:t xml:space="preserve"> by a New Zealand or international company.</w:t>
      </w:r>
      <w:r>
        <w:rPr>
          <w:rFonts w:ascii="Cambria" w:hAnsi="Cambria"/>
          <w:sz w:val="22"/>
          <w:szCs w:val="22"/>
        </w:rPr>
        <w:t xml:space="preserve"> This is the site you will analyse. </w:t>
      </w:r>
    </w:p>
    <w:p w14:paraId="2238EF23" w14:textId="1C973513" w:rsidR="00661EF2" w:rsidRDefault="00574402" w:rsidP="00057F55">
      <w:pPr>
        <w:numPr>
          <w:ilvl w:val="0"/>
          <w:numId w:val="1"/>
        </w:numPr>
        <w:spacing w:after="120"/>
        <w:ind w:left="714" w:hanging="357"/>
        <w:rPr>
          <w:rFonts w:ascii="Cambria" w:hAnsi="Cambria"/>
          <w:sz w:val="22"/>
          <w:szCs w:val="22"/>
        </w:rPr>
      </w:pPr>
      <w:r>
        <w:rPr>
          <w:rFonts w:ascii="Cambria" w:hAnsi="Cambria"/>
          <w:sz w:val="22"/>
          <w:szCs w:val="22"/>
        </w:rPr>
        <w:t>For your chosen site, analyse either the</w:t>
      </w:r>
      <w:r w:rsidR="00661EF2">
        <w:rPr>
          <w:rFonts w:ascii="Cambria" w:hAnsi="Cambria"/>
          <w:sz w:val="22"/>
          <w:szCs w:val="22"/>
        </w:rPr>
        <w:t xml:space="preserve"> website on the computer or the equivalent </w:t>
      </w:r>
      <w:r>
        <w:rPr>
          <w:rFonts w:ascii="Cambria" w:hAnsi="Cambria"/>
          <w:sz w:val="22"/>
          <w:szCs w:val="22"/>
        </w:rPr>
        <w:t>version</w:t>
      </w:r>
      <w:r w:rsidR="00661EF2">
        <w:rPr>
          <w:rFonts w:ascii="Cambria" w:hAnsi="Cambria"/>
          <w:sz w:val="22"/>
          <w:szCs w:val="22"/>
        </w:rPr>
        <w:t xml:space="preserve"> for the mobile phone. </w:t>
      </w:r>
    </w:p>
    <w:p w14:paraId="795206AC" w14:textId="60E0C219" w:rsidR="00AC7365" w:rsidRDefault="00574402" w:rsidP="00057F55">
      <w:pPr>
        <w:numPr>
          <w:ilvl w:val="0"/>
          <w:numId w:val="1"/>
        </w:numPr>
        <w:spacing w:after="120"/>
        <w:ind w:left="714" w:hanging="357"/>
        <w:rPr>
          <w:rFonts w:ascii="Cambria" w:hAnsi="Cambria"/>
          <w:sz w:val="22"/>
          <w:szCs w:val="22"/>
        </w:rPr>
      </w:pPr>
      <w:r>
        <w:rPr>
          <w:rFonts w:ascii="Cambria" w:hAnsi="Cambria"/>
          <w:sz w:val="22"/>
          <w:szCs w:val="22"/>
        </w:rPr>
        <w:t xml:space="preserve">On your chosen </w:t>
      </w:r>
      <w:r w:rsidR="00AC7365">
        <w:rPr>
          <w:rFonts w:ascii="Cambria" w:hAnsi="Cambria"/>
          <w:sz w:val="22"/>
          <w:szCs w:val="22"/>
        </w:rPr>
        <w:t xml:space="preserve">site, find an example of each of the eight golden rules used or broken. </w:t>
      </w:r>
    </w:p>
    <w:p w14:paraId="430915D1" w14:textId="4E1C5723" w:rsidR="00661EF2" w:rsidRDefault="00AC7365" w:rsidP="00AF11FB">
      <w:pPr>
        <w:numPr>
          <w:ilvl w:val="0"/>
          <w:numId w:val="1"/>
        </w:numPr>
        <w:spacing w:after="120"/>
        <w:ind w:left="714" w:hanging="357"/>
        <w:rPr>
          <w:rFonts w:ascii="Cambria" w:hAnsi="Cambria"/>
          <w:sz w:val="22"/>
          <w:szCs w:val="22"/>
        </w:rPr>
      </w:pPr>
      <w:r w:rsidRPr="00AC7365">
        <w:rPr>
          <w:rFonts w:ascii="Cambria" w:hAnsi="Cambria"/>
          <w:sz w:val="22"/>
          <w:szCs w:val="22"/>
        </w:rPr>
        <w:t xml:space="preserve">Make </w:t>
      </w:r>
      <w:r w:rsidR="00661EF2">
        <w:rPr>
          <w:rFonts w:ascii="Cambria" w:hAnsi="Cambria"/>
          <w:sz w:val="22"/>
          <w:szCs w:val="22"/>
        </w:rPr>
        <w:t xml:space="preserve">your analysis </w:t>
      </w:r>
      <w:r w:rsidRPr="00AC7365">
        <w:rPr>
          <w:rFonts w:ascii="Cambria" w:hAnsi="Cambria"/>
          <w:sz w:val="22"/>
          <w:szCs w:val="22"/>
        </w:rPr>
        <w:t xml:space="preserve">notes into a </w:t>
      </w:r>
      <w:r w:rsidR="00661EF2">
        <w:rPr>
          <w:rFonts w:ascii="Cambria" w:hAnsi="Cambria"/>
          <w:sz w:val="22"/>
          <w:szCs w:val="22"/>
        </w:rPr>
        <w:t xml:space="preserve">word document. Include the name of the company, the purpose of the website, and the site URL. Explain how the rule is implemented or not, on the </w:t>
      </w:r>
      <w:r w:rsidR="0000318B">
        <w:rPr>
          <w:rFonts w:ascii="Cambria" w:hAnsi="Cambria"/>
          <w:sz w:val="22"/>
          <w:szCs w:val="22"/>
        </w:rPr>
        <w:t>website</w:t>
      </w:r>
      <w:r w:rsidR="00661EF2">
        <w:rPr>
          <w:rFonts w:ascii="Cambria" w:hAnsi="Cambria"/>
          <w:sz w:val="22"/>
          <w:szCs w:val="22"/>
        </w:rPr>
        <w:t xml:space="preserve"> and use </w:t>
      </w:r>
      <w:r w:rsidR="0000318B">
        <w:rPr>
          <w:rFonts w:ascii="Cambria" w:hAnsi="Cambria"/>
          <w:sz w:val="22"/>
          <w:szCs w:val="22"/>
        </w:rPr>
        <w:t>screenshots</w:t>
      </w:r>
      <w:r w:rsidRPr="00AC7365">
        <w:rPr>
          <w:rFonts w:ascii="Cambria" w:hAnsi="Cambria"/>
          <w:sz w:val="22"/>
          <w:szCs w:val="22"/>
        </w:rPr>
        <w:t xml:space="preserve"> as evidence</w:t>
      </w:r>
      <w:r w:rsidR="00574402">
        <w:rPr>
          <w:rFonts w:ascii="Cambria" w:hAnsi="Cambria"/>
          <w:sz w:val="22"/>
          <w:szCs w:val="22"/>
        </w:rPr>
        <w:t xml:space="preserve"> of each rule (used or broken) – if possible.</w:t>
      </w:r>
    </w:p>
    <w:p w14:paraId="097E4889" w14:textId="5DF60ACC" w:rsidR="00013F40" w:rsidRPr="00AC7365" w:rsidRDefault="00013F40" w:rsidP="00AF11FB">
      <w:pPr>
        <w:numPr>
          <w:ilvl w:val="0"/>
          <w:numId w:val="1"/>
        </w:numPr>
        <w:spacing w:after="120"/>
        <w:ind w:left="714" w:hanging="357"/>
        <w:rPr>
          <w:rFonts w:ascii="Cambria" w:hAnsi="Cambria"/>
          <w:sz w:val="22"/>
          <w:szCs w:val="22"/>
        </w:rPr>
      </w:pPr>
      <w:r w:rsidRPr="00AC7365">
        <w:rPr>
          <w:rFonts w:ascii="Cambria" w:hAnsi="Cambria"/>
          <w:sz w:val="22"/>
          <w:szCs w:val="22"/>
        </w:rPr>
        <w:t xml:space="preserve">Upload </w:t>
      </w:r>
      <w:r w:rsidR="00AC7365" w:rsidRPr="00AC7365">
        <w:rPr>
          <w:rFonts w:ascii="Cambria" w:hAnsi="Cambria"/>
          <w:sz w:val="22"/>
          <w:szCs w:val="22"/>
        </w:rPr>
        <w:t>the</w:t>
      </w:r>
      <w:r w:rsidR="00086AB7" w:rsidRPr="00AC7365">
        <w:rPr>
          <w:rFonts w:ascii="Cambria" w:hAnsi="Cambria"/>
          <w:sz w:val="22"/>
          <w:szCs w:val="22"/>
        </w:rPr>
        <w:t xml:space="preserve"> W</w:t>
      </w:r>
      <w:r w:rsidR="00AC7365" w:rsidRPr="00AC7365">
        <w:rPr>
          <w:rFonts w:ascii="Cambria" w:hAnsi="Cambria"/>
          <w:sz w:val="22"/>
          <w:szCs w:val="22"/>
        </w:rPr>
        <w:t>ord document</w:t>
      </w:r>
      <w:r w:rsidR="00086AB7" w:rsidRPr="00AC7365">
        <w:rPr>
          <w:rFonts w:ascii="Cambria" w:hAnsi="Cambria"/>
          <w:sz w:val="22"/>
          <w:szCs w:val="22"/>
        </w:rPr>
        <w:t xml:space="preserve"> </w:t>
      </w:r>
      <w:r w:rsidRPr="00AC7365">
        <w:rPr>
          <w:rFonts w:ascii="Cambria" w:hAnsi="Cambria"/>
          <w:sz w:val="22"/>
          <w:szCs w:val="22"/>
        </w:rPr>
        <w:t xml:space="preserve">to the Moodle forum for this tutorial. </w:t>
      </w:r>
      <w:r w:rsidR="00AC7365" w:rsidRPr="00AC7365">
        <w:rPr>
          <w:rFonts w:ascii="Cambria" w:hAnsi="Cambria"/>
          <w:sz w:val="22"/>
          <w:szCs w:val="22"/>
        </w:rPr>
        <w:t>Name the file ‘Tutorial X</w:t>
      </w:r>
      <w:r w:rsidR="00DC5B34" w:rsidRPr="00AC7365">
        <w:rPr>
          <w:rFonts w:ascii="Cambria" w:hAnsi="Cambria"/>
          <w:sz w:val="22"/>
          <w:szCs w:val="22"/>
        </w:rPr>
        <w:t xml:space="preserve"> </w:t>
      </w:r>
      <w:proofErr w:type="spellStart"/>
      <w:r w:rsidR="00DC5B34" w:rsidRPr="00AC7365">
        <w:rPr>
          <w:rFonts w:ascii="Cambria" w:hAnsi="Cambria"/>
          <w:sz w:val="22"/>
          <w:szCs w:val="22"/>
        </w:rPr>
        <w:t>YourSurname</w:t>
      </w:r>
      <w:proofErr w:type="spellEnd"/>
      <w:r w:rsidR="00DC5B34" w:rsidRPr="00AC7365">
        <w:rPr>
          <w:rFonts w:ascii="Cambria" w:hAnsi="Cambria"/>
          <w:sz w:val="22"/>
          <w:szCs w:val="22"/>
        </w:rPr>
        <w:t>’.</w:t>
      </w:r>
    </w:p>
    <w:p w14:paraId="42E05E2C" w14:textId="77777777" w:rsidR="00B7621E" w:rsidRDefault="00B7621E" w:rsidP="00B509E0">
      <w:pPr>
        <w:pStyle w:val="paragraph"/>
        <w:spacing w:before="0" w:beforeAutospacing="0" w:after="0" w:afterAutospacing="0"/>
        <w:textAlignment w:val="baseline"/>
        <w:rPr>
          <w:rFonts w:ascii="Calibri" w:hAnsi="Calibri" w:cs="Calibri"/>
          <w:sz w:val="22"/>
          <w:szCs w:val="22"/>
        </w:rPr>
      </w:pPr>
    </w:p>
    <w:p w14:paraId="1E58A267" w14:textId="1049ED49" w:rsidR="00B7621E" w:rsidRDefault="00574402" w:rsidP="00574402">
      <w:pPr>
        <w:pStyle w:val="Heading1"/>
      </w:pPr>
      <w:r>
        <w:t>References</w:t>
      </w:r>
    </w:p>
    <w:p w14:paraId="3F045570" w14:textId="77777777" w:rsidR="0000318B" w:rsidRPr="0000318B" w:rsidRDefault="00B7621E" w:rsidP="0000318B">
      <w:pPr>
        <w:pStyle w:val="EndNoteBibliography"/>
      </w:pPr>
      <w:r>
        <w:rPr>
          <w:rFonts w:ascii="Calibri" w:hAnsi="Calibri" w:cs="Calibri"/>
          <w:sz w:val="22"/>
          <w:szCs w:val="22"/>
        </w:rPr>
        <w:fldChar w:fldCharType="begin"/>
      </w:r>
      <w:r>
        <w:rPr>
          <w:rFonts w:ascii="Calibri" w:hAnsi="Calibri" w:cs="Calibri"/>
          <w:sz w:val="22"/>
          <w:szCs w:val="22"/>
        </w:rPr>
        <w:instrText xml:space="preserve"> ADDIN EN.REFLIST </w:instrText>
      </w:r>
      <w:r>
        <w:rPr>
          <w:rFonts w:ascii="Calibri" w:hAnsi="Calibri" w:cs="Calibri"/>
          <w:sz w:val="22"/>
          <w:szCs w:val="22"/>
        </w:rPr>
        <w:fldChar w:fldCharType="separate"/>
      </w:r>
      <w:r w:rsidR="0000318B" w:rsidRPr="0000318B">
        <w:t xml:space="preserve">Shneiderman, B., Plaisant, C., Cohen, M., Jacobs, S., Elmqvist, N., &amp; Diakopoulos, N. (2016). </w:t>
      </w:r>
      <w:r w:rsidR="0000318B" w:rsidRPr="0000318B">
        <w:rPr>
          <w:i/>
        </w:rPr>
        <w:t>Designing the User Interface: Strategies for Effective Human-Computer Interaction</w:t>
      </w:r>
      <w:r w:rsidR="0000318B" w:rsidRPr="0000318B">
        <w:t xml:space="preserve">. Pearson. </w:t>
      </w:r>
    </w:p>
    <w:p w14:paraId="01153CAD" w14:textId="3C7D8998" w:rsidR="00F054D4" w:rsidRDefault="00B7621E" w:rsidP="003E29AE">
      <w:pPr>
        <w:pStyle w:val="paragraph"/>
        <w:spacing w:before="0" w:beforeAutospacing="0" w:after="0" w:afterAutospacing="0"/>
        <w:textAlignment w:val="baseline"/>
      </w:pPr>
      <w:r>
        <w:rPr>
          <w:rFonts w:ascii="Calibri" w:hAnsi="Calibri" w:cs="Calibri"/>
          <w:sz w:val="22"/>
          <w:szCs w:val="22"/>
        </w:rPr>
        <w:fldChar w:fldCharType="end"/>
      </w:r>
    </w:p>
    <w:p w14:paraId="0043AD89" w14:textId="3F650AC4" w:rsidR="00F054D4" w:rsidRDefault="00F054D4" w:rsidP="00F054D4">
      <w:pPr>
        <w:rPr>
          <w:lang w:val="en-GB" w:eastAsia="en-GB"/>
        </w:rPr>
      </w:pPr>
    </w:p>
    <w:p w14:paraId="225AE6EC" w14:textId="1459B086" w:rsidR="00F054D4" w:rsidRDefault="00F054D4" w:rsidP="00F054D4">
      <w:pPr>
        <w:rPr>
          <w:lang w:val="en-GB" w:eastAsia="en-GB"/>
        </w:rPr>
      </w:pPr>
    </w:p>
    <w:p w14:paraId="4FD5AE6A" w14:textId="5390F904" w:rsidR="00F054D4" w:rsidRDefault="00F054D4" w:rsidP="00F054D4">
      <w:pPr>
        <w:rPr>
          <w:lang w:val="en-GB" w:eastAsia="en-GB"/>
        </w:rPr>
      </w:pPr>
    </w:p>
    <w:p w14:paraId="061DC3DC" w14:textId="77777777" w:rsidR="00F054D4" w:rsidRPr="00F054D4" w:rsidRDefault="00F054D4" w:rsidP="00F054D4">
      <w:pPr>
        <w:rPr>
          <w:lang w:val="en-GB" w:eastAsia="en-GB"/>
        </w:rPr>
      </w:pPr>
    </w:p>
    <w:sectPr w:rsidR="00F054D4" w:rsidRPr="00F054D4" w:rsidSect="005F3F9E">
      <w:headerReference w:type="default" r:id="rId10"/>
      <w:footerReference w:type="default" r:id="rId11"/>
      <w:endnotePr>
        <w:numFmt w:val="decimal"/>
      </w:endnotePr>
      <w:pgSz w:w="11906" w:h="16838"/>
      <w:pgMar w:top="1440" w:right="1440" w:bottom="1440" w:left="1440"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49D4" w14:textId="77777777" w:rsidR="005501D8" w:rsidRDefault="005501D8" w:rsidP="00057F55">
      <w:r>
        <w:separator/>
      </w:r>
    </w:p>
  </w:endnote>
  <w:endnote w:type="continuationSeparator" w:id="0">
    <w:p w14:paraId="16ED477F" w14:textId="77777777" w:rsidR="005501D8" w:rsidRDefault="005501D8" w:rsidP="00057F55">
      <w:r>
        <w:continuationSeparator/>
      </w:r>
    </w:p>
  </w:endnote>
  <w:endnote w:id="1">
    <w:p w14:paraId="3160CC6C" w14:textId="1634BE9B" w:rsidR="00F054D4" w:rsidRPr="00F054D4" w:rsidRDefault="00F054D4" w:rsidP="00F054D4">
      <w:pPr>
        <w:shd w:val="clear" w:color="auto" w:fill="FFFFFF"/>
        <w:spacing w:before="100" w:beforeAutospacing="1" w:after="100" w:afterAutospacing="1"/>
        <w:ind w:left="360"/>
        <w:rPr>
          <w:lang w:val="en-NZ"/>
        </w:rPr>
      </w:pPr>
      <w:r>
        <w:rPr>
          <w:rStyle w:val="EndnoteReference"/>
        </w:rPr>
        <w:endnoteRef/>
      </w:r>
      <w:r>
        <w:t xml:space="preserve"> </w:t>
      </w:r>
      <w:r w:rsidRPr="00F054D4">
        <w:rPr>
          <w:rFonts w:ascii="Cambria" w:hAnsi="Cambria"/>
          <w:sz w:val="20"/>
          <w:szCs w:val="20"/>
        </w:rPr>
        <w:t>E-commerce</w:t>
      </w:r>
      <w:r w:rsidRPr="00F054D4">
        <w:rPr>
          <w:rFonts w:ascii="Cambria" w:hAnsi="Cambria"/>
          <w:sz w:val="20"/>
          <w:szCs w:val="20"/>
        </w:rPr>
        <w:t xml:space="preserve"> is the buying and selling of goods and services over the Internet.</w:t>
      </w:r>
      <w:r w:rsidRPr="00F054D4">
        <w:rPr>
          <w:rFonts w:ascii="Cambria" w:hAnsi="Cambria"/>
          <w:sz w:val="20"/>
          <w:szCs w:val="20"/>
        </w:rPr>
        <w:t xml:space="preserve"> E-commerce is</w:t>
      </w:r>
      <w:r w:rsidRPr="00F054D4">
        <w:rPr>
          <w:rFonts w:ascii="Cambria" w:hAnsi="Cambria"/>
          <w:sz w:val="20"/>
          <w:szCs w:val="20"/>
        </w:rPr>
        <w:t xml:space="preserve"> conducted over computers, tablets, smartphones, and other smart devices.</w:t>
      </w:r>
      <w:r w:rsidRPr="00F054D4">
        <w:rPr>
          <w:rFonts w:ascii="Cambria" w:hAnsi="Cambria"/>
          <w:sz w:val="20"/>
          <w:szCs w:val="20"/>
        </w:rPr>
        <w:t xml:space="preserve"> </w:t>
      </w:r>
      <w:r w:rsidRPr="00F054D4">
        <w:rPr>
          <w:rFonts w:ascii="Cambria" w:hAnsi="Cambria"/>
          <w:sz w:val="20"/>
          <w:szCs w:val="20"/>
        </w:rPr>
        <w:t>Ecommerce operates in four market segments, including business-to-business, business-to-consumer, consumer-to-consumer, and consumer-to-business.</w:t>
      </w:r>
      <w:r w:rsidRPr="00F054D4">
        <w:rPr>
          <w:rFonts w:ascii="Cambria" w:hAnsi="Cambria"/>
          <w:sz w:val="20"/>
          <w:szCs w:val="20"/>
        </w:rPr>
        <w:t xml:space="preserve"> </w:t>
      </w:r>
      <w:r w:rsidRPr="00F054D4">
        <w:rPr>
          <w:sz w:val="22"/>
          <w:szCs w:val="22"/>
          <w:lang w:val="en-NZ"/>
        </w:rPr>
        <w:t xml:space="preserve">Source: </w:t>
      </w:r>
      <w:hyperlink r:id="rId1" w:history="1">
        <w:r w:rsidRPr="00F054D4">
          <w:rPr>
            <w:rStyle w:val="Hyperlink"/>
            <w:sz w:val="22"/>
            <w:szCs w:val="22"/>
            <w:lang w:val="en-NZ"/>
          </w:rPr>
          <w:t>https://www.investopedia.com/terms/e/ecommerce.asp</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5A4" w14:textId="77777777" w:rsidR="000630B4" w:rsidRDefault="00855B1D">
    <w:pPr>
      <w:pStyle w:val="Footer"/>
      <w:rPr>
        <w:sz w:val="16"/>
        <w:lang w:val="en-US"/>
      </w:rPr>
    </w:pPr>
    <w:r>
      <w:rPr>
        <w:sz w:val="16"/>
        <w:lang w:val="en-US"/>
      </w:rPr>
      <w:t xml:space="preserve"> </w:t>
    </w:r>
  </w:p>
  <w:p w14:paraId="0693CC8D" w14:textId="77777777" w:rsidR="000630B4" w:rsidRDefault="005501D8">
    <w:pPr>
      <w:pStyle w:val="Footer"/>
      <w:rPr>
        <w:sz w:val="16"/>
        <w:lang w:val="en-US"/>
      </w:rPr>
    </w:pPr>
  </w:p>
  <w:p w14:paraId="6F1AEAC7" w14:textId="77777777" w:rsidR="000630B4" w:rsidRPr="00DA5614" w:rsidRDefault="005501D8">
    <w:pPr>
      <w:pStyle w:val="Footer"/>
      <w:jc w:val="center"/>
      <w:rPr>
        <w:rFonts w:ascii="Arial" w:hAnsi="Arial" w:cs="Arial"/>
        <w:sz w:val="18"/>
        <w:szCs w:val="18"/>
        <w:lang w:val="en-US"/>
      </w:rPr>
    </w:pPr>
  </w:p>
  <w:p w14:paraId="76ADBEEA" w14:textId="424AF670" w:rsidR="000630B4" w:rsidRPr="00DA5614" w:rsidRDefault="00855B1D">
    <w:pPr>
      <w:pStyle w:val="Footer"/>
      <w:jc w:val="center"/>
      <w:rPr>
        <w:rFonts w:ascii="Arial" w:hAnsi="Arial" w:cs="Arial"/>
        <w:sz w:val="18"/>
        <w:szCs w:val="18"/>
        <w:lang w:val="en-US"/>
      </w:rPr>
    </w:pPr>
    <w:r w:rsidRPr="00DA5614">
      <w:rPr>
        <w:rStyle w:val="PageNumber"/>
        <w:rFonts w:ascii="Arial" w:hAnsi="Arial" w:cs="Arial"/>
        <w:sz w:val="18"/>
        <w:szCs w:val="18"/>
      </w:rPr>
      <w:fldChar w:fldCharType="begin"/>
    </w:r>
    <w:r w:rsidRPr="00DA5614">
      <w:rPr>
        <w:rStyle w:val="PageNumber"/>
        <w:rFonts w:ascii="Arial" w:hAnsi="Arial" w:cs="Arial"/>
        <w:sz w:val="18"/>
        <w:szCs w:val="18"/>
      </w:rPr>
      <w:instrText xml:space="preserve"> PAGE </w:instrText>
    </w:r>
    <w:r w:rsidRPr="00DA5614">
      <w:rPr>
        <w:rStyle w:val="PageNumber"/>
        <w:rFonts w:ascii="Arial" w:hAnsi="Arial" w:cs="Arial"/>
        <w:sz w:val="18"/>
        <w:szCs w:val="18"/>
      </w:rPr>
      <w:fldChar w:fldCharType="separate"/>
    </w:r>
    <w:r w:rsidR="00574402">
      <w:rPr>
        <w:rStyle w:val="PageNumber"/>
        <w:rFonts w:ascii="Arial" w:hAnsi="Arial" w:cs="Arial"/>
        <w:noProof/>
        <w:sz w:val="18"/>
        <w:szCs w:val="18"/>
      </w:rPr>
      <w:t>1</w:t>
    </w:r>
    <w:r w:rsidRPr="00DA561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0210" w14:textId="77777777" w:rsidR="005501D8" w:rsidRDefault="005501D8" w:rsidP="00057F55">
      <w:r>
        <w:separator/>
      </w:r>
    </w:p>
  </w:footnote>
  <w:footnote w:type="continuationSeparator" w:id="0">
    <w:p w14:paraId="5ED67E43" w14:textId="77777777" w:rsidR="005501D8" w:rsidRDefault="005501D8" w:rsidP="0005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EAAF" w14:textId="6AE81173" w:rsidR="000630B4" w:rsidRPr="00E063EC" w:rsidRDefault="00855B1D">
    <w:pPr>
      <w:pStyle w:val="Header"/>
      <w:rPr>
        <w:rFonts w:ascii="Arial" w:hAnsi="Arial" w:cs="Arial"/>
        <w:sz w:val="20"/>
      </w:rPr>
    </w:pPr>
    <w:r w:rsidRPr="00E063EC">
      <w:rPr>
        <w:rFonts w:ascii="Arial" w:hAnsi="Arial" w:cs="Arial"/>
        <w:sz w:val="20"/>
      </w:rPr>
      <w:t>IT</w:t>
    </w:r>
    <w:r>
      <w:rPr>
        <w:rFonts w:ascii="Arial" w:hAnsi="Arial" w:cs="Arial"/>
        <w:sz w:val="20"/>
      </w:rPr>
      <w:t>65</w:t>
    </w:r>
    <w:r w:rsidR="00057F55">
      <w:rPr>
        <w:rFonts w:ascii="Arial" w:hAnsi="Arial" w:cs="Arial"/>
        <w:sz w:val="20"/>
      </w:rPr>
      <w:t>01</w:t>
    </w:r>
    <w:r w:rsidRPr="00E063EC">
      <w:rPr>
        <w:rFonts w:ascii="Arial" w:hAnsi="Arial" w:cs="Arial"/>
        <w:sz w:val="20"/>
      </w:rPr>
      <w:t xml:space="preserve"> Systems Analysis and Design</w:t>
    </w:r>
    <w:r w:rsidRPr="00E063EC">
      <w:rPr>
        <w:rFonts w:ascii="Arial" w:hAnsi="Arial" w:cs="Arial"/>
        <w:sz w:val="20"/>
      </w:rPr>
      <w:tab/>
    </w:r>
    <w:r w:rsidRPr="00E063EC">
      <w:rPr>
        <w:rFonts w:ascii="Arial" w:hAnsi="Arial" w:cs="Arial"/>
        <w:sz w:val="20"/>
      </w:rPr>
      <w:tab/>
    </w:r>
    <w:r w:rsidR="004C520F">
      <w:rPr>
        <w:rFonts w:ascii="Arial" w:hAnsi="Arial" w:cs="Arial"/>
        <w:sz w:val="20"/>
      </w:rPr>
      <w:t xml:space="preserve">Tutorial </w:t>
    </w:r>
    <w:r w:rsidRPr="00E063EC">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C93"/>
    <w:multiLevelType w:val="hybridMultilevel"/>
    <w:tmpl w:val="67D6041C"/>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85CFC"/>
    <w:multiLevelType w:val="multilevel"/>
    <w:tmpl w:val="CEE6E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73246"/>
    <w:multiLevelType w:val="hybridMultilevel"/>
    <w:tmpl w:val="B40E1E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90333"/>
    <w:multiLevelType w:val="multilevel"/>
    <w:tmpl w:val="B7EC5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366EF"/>
    <w:multiLevelType w:val="hybridMultilevel"/>
    <w:tmpl w:val="57527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C51AA"/>
    <w:multiLevelType w:val="hybridMultilevel"/>
    <w:tmpl w:val="9AA8A314"/>
    <w:lvl w:ilvl="0" w:tplc="0409000F">
      <w:start w:val="1"/>
      <w:numFmt w:val="decimal"/>
      <w:lvlText w:val="%1."/>
      <w:lvlJc w:val="left"/>
      <w:pPr>
        <w:tabs>
          <w:tab w:val="num" w:pos="720"/>
        </w:tabs>
        <w:ind w:left="720" w:hanging="360"/>
      </w:pPr>
      <w:rPr>
        <w:rFonts w:hint="default"/>
      </w:rPr>
    </w:lvl>
    <w:lvl w:ilvl="1" w:tplc="1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44113F"/>
    <w:multiLevelType w:val="hybridMultilevel"/>
    <w:tmpl w:val="911E9AF6"/>
    <w:lvl w:ilvl="0" w:tplc="F0B287E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22E87"/>
    <w:multiLevelType w:val="hybridMultilevel"/>
    <w:tmpl w:val="67E2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D6842"/>
    <w:multiLevelType w:val="hybridMultilevel"/>
    <w:tmpl w:val="1384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C5710"/>
    <w:multiLevelType w:val="multilevel"/>
    <w:tmpl w:val="9BFE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D77A3"/>
    <w:multiLevelType w:val="hybridMultilevel"/>
    <w:tmpl w:val="F912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8773E"/>
    <w:multiLevelType w:val="hybridMultilevel"/>
    <w:tmpl w:val="306AB4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04923D8"/>
    <w:multiLevelType w:val="hybridMultilevel"/>
    <w:tmpl w:val="828A64DC"/>
    <w:lvl w:ilvl="0" w:tplc="08090001">
      <w:start w:val="1"/>
      <w:numFmt w:val="bullet"/>
      <w:lvlText w:val=""/>
      <w:lvlJc w:val="left"/>
      <w:pPr>
        <w:tabs>
          <w:tab w:val="num" w:pos="720"/>
        </w:tabs>
        <w:ind w:left="720" w:hanging="360"/>
      </w:pPr>
      <w:rPr>
        <w:rFonts w:ascii="Symbol" w:hAnsi="Symbol" w:hint="default"/>
      </w:rPr>
    </w:lvl>
    <w:lvl w:ilvl="1" w:tplc="1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ED7BCE"/>
    <w:multiLevelType w:val="multilevel"/>
    <w:tmpl w:val="AD32F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A6488"/>
    <w:multiLevelType w:val="hybridMultilevel"/>
    <w:tmpl w:val="0480E6B2"/>
    <w:lvl w:ilvl="0" w:tplc="0409000F">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7D69CA"/>
    <w:multiLevelType w:val="hybridMultilevel"/>
    <w:tmpl w:val="5C1C1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806237"/>
    <w:multiLevelType w:val="multilevel"/>
    <w:tmpl w:val="4D8C42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28883827">
    <w:abstractNumId w:val="5"/>
  </w:num>
  <w:num w:numId="2" w16cid:durableId="1403867085">
    <w:abstractNumId w:val="6"/>
  </w:num>
  <w:num w:numId="3" w16cid:durableId="1878084496">
    <w:abstractNumId w:val="0"/>
  </w:num>
  <w:num w:numId="4" w16cid:durableId="9845202">
    <w:abstractNumId w:val="14"/>
  </w:num>
  <w:num w:numId="5" w16cid:durableId="209538765">
    <w:abstractNumId w:val="15"/>
  </w:num>
  <w:num w:numId="6" w16cid:durableId="395401634">
    <w:abstractNumId w:val="9"/>
  </w:num>
  <w:num w:numId="7" w16cid:durableId="2037660008">
    <w:abstractNumId w:val="3"/>
  </w:num>
  <w:num w:numId="8" w16cid:durableId="24598755">
    <w:abstractNumId w:val="13"/>
  </w:num>
  <w:num w:numId="9" w16cid:durableId="32730429">
    <w:abstractNumId w:val="1"/>
  </w:num>
  <w:num w:numId="10" w16cid:durableId="1646816421">
    <w:abstractNumId w:val="4"/>
  </w:num>
  <w:num w:numId="11" w16cid:durableId="1134175834">
    <w:abstractNumId w:val="10"/>
  </w:num>
  <w:num w:numId="12" w16cid:durableId="1156647356">
    <w:abstractNumId w:val="8"/>
  </w:num>
  <w:num w:numId="13" w16cid:durableId="1527019081">
    <w:abstractNumId w:val="2"/>
  </w:num>
  <w:num w:numId="14" w16cid:durableId="1795126796">
    <w:abstractNumId w:val="7"/>
  </w:num>
  <w:num w:numId="15" w16cid:durableId="1867020913">
    <w:abstractNumId w:val="12"/>
  </w:num>
  <w:num w:numId="16" w16cid:durableId="637226077">
    <w:abstractNumId w:val="11"/>
  </w:num>
  <w:num w:numId="17" w16cid:durableId="1668481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MzS3sDA0MTCwtLBU0lEKTi0uzszPAymwrAUAeK/8LC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pzfd0f2edpduewrz755azk22app2x5aews&quot;&gt;MetaLibrary 06 Sept 2019-Converted&lt;record-ids&gt;&lt;item&gt;1672&lt;/item&gt;&lt;/record-ids&gt;&lt;/item&gt;&lt;/Libraries&gt;"/>
  </w:docVars>
  <w:rsids>
    <w:rsidRoot w:val="00390CC3"/>
    <w:rsid w:val="0000318B"/>
    <w:rsid w:val="00013F40"/>
    <w:rsid w:val="000356F8"/>
    <w:rsid w:val="00057F55"/>
    <w:rsid w:val="00086AB7"/>
    <w:rsid w:val="000B1B08"/>
    <w:rsid w:val="000E0DB8"/>
    <w:rsid w:val="001302AB"/>
    <w:rsid w:val="00154D72"/>
    <w:rsid w:val="001E37E0"/>
    <w:rsid w:val="00224B87"/>
    <w:rsid w:val="00390CC3"/>
    <w:rsid w:val="003C6453"/>
    <w:rsid w:val="003E29AE"/>
    <w:rsid w:val="003E7E1F"/>
    <w:rsid w:val="00411424"/>
    <w:rsid w:val="00440CC0"/>
    <w:rsid w:val="004C13D1"/>
    <w:rsid w:val="004C520F"/>
    <w:rsid w:val="004D1A94"/>
    <w:rsid w:val="004F03D6"/>
    <w:rsid w:val="005501D8"/>
    <w:rsid w:val="00574402"/>
    <w:rsid w:val="00615D2A"/>
    <w:rsid w:val="00641F2A"/>
    <w:rsid w:val="00661EF2"/>
    <w:rsid w:val="006873B9"/>
    <w:rsid w:val="006B2457"/>
    <w:rsid w:val="006B713A"/>
    <w:rsid w:val="008069EF"/>
    <w:rsid w:val="008140EA"/>
    <w:rsid w:val="00855B1D"/>
    <w:rsid w:val="00897983"/>
    <w:rsid w:val="008E087A"/>
    <w:rsid w:val="00982827"/>
    <w:rsid w:val="009F4B41"/>
    <w:rsid w:val="00A04195"/>
    <w:rsid w:val="00A4320A"/>
    <w:rsid w:val="00A833D4"/>
    <w:rsid w:val="00AC7365"/>
    <w:rsid w:val="00AE4530"/>
    <w:rsid w:val="00B46CF6"/>
    <w:rsid w:val="00B46D46"/>
    <w:rsid w:val="00B509E0"/>
    <w:rsid w:val="00B6490C"/>
    <w:rsid w:val="00B6787F"/>
    <w:rsid w:val="00B7621E"/>
    <w:rsid w:val="00BB3734"/>
    <w:rsid w:val="00BC1D54"/>
    <w:rsid w:val="00BC6EEF"/>
    <w:rsid w:val="00C3137B"/>
    <w:rsid w:val="00CB7F6B"/>
    <w:rsid w:val="00D60647"/>
    <w:rsid w:val="00DC5B34"/>
    <w:rsid w:val="00DE6F94"/>
    <w:rsid w:val="00DF70A3"/>
    <w:rsid w:val="00E22311"/>
    <w:rsid w:val="00E26955"/>
    <w:rsid w:val="00EC2033"/>
    <w:rsid w:val="00F054D4"/>
    <w:rsid w:val="00F12533"/>
    <w:rsid w:val="00FA0F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EE706"/>
  <w15:chartTrackingRefBased/>
  <w15:docId w15:val="{AB00F4C8-36A3-46D2-BA1F-9658E158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F55"/>
    <w:pPr>
      <w:spacing w:after="0" w:line="240" w:lineRule="auto"/>
    </w:pPr>
    <w:rPr>
      <w:rFonts w:ascii="Times New Roman" w:eastAsia="Times New Roman" w:hAnsi="Times New Roman" w:cs="Times New Roman"/>
      <w:sz w:val="24"/>
      <w:szCs w:val="24"/>
      <w:lang w:val="en-AU" w:eastAsia="en-US"/>
    </w:rPr>
  </w:style>
  <w:style w:type="paragraph" w:styleId="Heading1">
    <w:name w:val="heading 1"/>
    <w:basedOn w:val="Normal"/>
    <w:next w:val="Normal"/>
    <w:link w:val="Heading1Char"/>
    <w:qFormat/>
    <w:rsid w:val="00057F55"/>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7F55"/>
    <w:pPr>
      <w:tabs>
        <w:tab w:val="center" w:pos="4513"/>
        <w:tab w:val="right" w:pos="9026"/>
      </w:tabs>
    </w:pPr>
  </w:style>
  <w:style w:type="character" w:customStyle="1" w:styleId="HeaderChar">
    <w:name w:val="Header Char"/>
    <w:basedOn w:val="DefaultParagraphFont"/>
    <w:link w:val="Header"/>
    <w:uiPriority w:val="99"/>
    <w:rsid w:val="00057F55"/>
  </w:style>
  <w:style w:type="paragraph" w:styleId="Footer">
    <w:name w:val="footer"/>
    <w:basedOn w:val="Normal"/>
    <w:link w:val="FooterChar"/>
    <w:unhideWhenUsed/>
    <w:rsid w:val="00057F55"/>
    <w:pPr>
      <w:tabs>
        <w:tab w:val="center" w:pos="4513"/>
        <w:tab w:val="right" w:pos="9026"/>
      </w:tabs>
    </w:pPr>
  </w:style>
  <w:style w:type="character" w:customStyle="1" w:styleId="FooterChar">
    <w:name w:val="Footer Char"/>
    <w:basedOn w:val="DefaultParagraphFont"/>
    <w:link w:val="Footer"/>
    <w:uiPriority w:val="99"/>
    <w:rsid w:val="00057F55"/>
  </w:style>
  <w:style w:type="character" w:customStyle="1" w:styleId="Heading1Char">
    <w:name w:val="Heading 1 Char"/>
    <w:basedOn w:val="DefaultParagraphFont"/>
    <w:link w:val="Heading1"/>
    <w:rsid w:val="00057F55"/>
    <w:rPr>
      <w:rFonts w:ascii="Times New Roman" w:eastAsia="Times New Roman" w:hAnsi="Times New Roman" w:cs="Times New Roman"/>
      <w:b/>
      <w:bCs/>
      <w:sz w:val="24"/>
      <w:szCs w:val="24"/>
      <w:lang w:val="en-AU" w:eastAsia="en-US"/>
    </w:rPr>
  </w:style>
  <w:style w:type="character" w:styleId="PageNumber">
    <w:name w:val="page number"/>
    <w:basedOn w:val="DefaultParagraphFont"/>
    <w:rsid w:val="00057F55"/>
  </w:style>
  <w:style w:type="paragraph" w:styleId="ListParagraph">
    <w:name w:val="List Paragraph"/>
    <w:basedOn w:val="Normal"/>
    <w:uiPriority w:val="34"/>
    <w:qFormat/>
    <w:rsid w:val="004F03D6"/>
    <w:pPr>
      <w:ind w:left="720"/>
      <w:contextualSpacing/>
    </w:pPr>
  </w:style>
  <w:style w:type="paragraph" w:customStyle="1" w:styleId="paragraph">
    <w:name w:val="paragraph"/>
    <w:basedOn w:val="Normal"/>
    <w:rsid w:val="008E087A"/>
    <w:pPr>
      <w:spacing w:before="100" w:beforeAutospacing="1" w:after="100" w:afterAutospacing="1"/>
    </w:pPr>
    <w:rPr>
      <w:lang w:val="en-GB" w:eastAsia="en-GB"/>
    </w:rPr>
  </w:style>
  <w:style w:type="character" w:customStyle="1" w:styleId="normaltextrun">
    <w:name w:val="normaltextrun"/>
    <w:basedOn w:val="DefaultParagraphFont"/>
    <w:rsid w:val="008E087A"/>
  </w:style>
  <w:style w:type="character" w:customStyle="1" w:styleId="eop">
    <w:name w:val="eop"/>
    <w:basedOn w:val="DefaultParagraphFont"/>
    <w:rsid w:val="008E087A"/>
  </w:style>
  <w:style w:type="paragraph" w:styleId="NormalWeb">
    <w:name w:val="Normal (Web)"/>
    <w:basedOn w:val="Normal"/>
    <w:uiPriority w:val="99"/>
    <w:semiHidden/>
    <w:unhideWhenUsed/>
    <w:rsid w:val="00AC7365"/>
    <w:pPr>
      <w:spacing w:before="100" w:beforeAutospacing="1" w:after="100" w:afterAutospacing="1"/>
    </w:pPr>
    <w:rPr>
      <w:lang w:val="en-NZ" w:eastAsia="en-NZ"/>
    </w:rPr>
  </w:style>
  <w:style w:type="character" w:customStyle="1" w:styleId="regulartext">
    <w:name w:val="regular_text"/>
    <w:basedOn w:val="DefaultParagraphFont"/>
    <w:rsid w:val="00AC7365"/>
  </w:style>
  <w:style w:type="paragraph" w:customStyle="1" w:styleId="EndNoteBibliographyTitle">
    <w:name w:val="EndNote Bibliography Title"/>
    <w:basedOn w:val="Normal"/>
    <w:link w:val="EndNoteBibliographyTitleChar"/>
    <w:rsid w:val="00B7621E"/>
    <w:pPr>
      <w:jc w:val="center"/>
    </w:pPr>
    <w:rPr>
      <w:noProof/>
      <w:lang w:val="en-US"/>
    </w:rPr>
  </w:style>
  <w:style w:type="character" w:customStyle="1" w:styleId="EndNoteBibliographyTitleChar">
    <w:name w:val="EndNote Bibliography Title Char"/>
    <w:basedOn w:val="DefaultParagraphFont"/>
    <w:link w:val="EndNoteBibliographyTitle"/>
    <w:rsid w:val="00B7621E"/>
    <w:rPr>
      <w:rFonts w:ascii="Times New Roman" w:eastAsia="Times New Roman" w:hAnsi="Times New Roman" w:cs="Times New Roman"/>
      <w:noProof/>
      <w:sz w:val="24"/>
      <w:szCs w:val="24"/>
      <w:lang w:val="en-US" w:eastAsia="en-US"/>
    </w:rPr>
  </w:style>
  <w:style w:type="paragraph" w:customStyle="1" w:styleId="EndNoteBibliography">
    <w:name w:val="EndNote Bibliography"/>
    <w:basedOn w:val="Normal"/>
    <w:link w:val="EndNoteBibliographyChar"/>
    <w:rsid w:val="00B7621E"/>
    <w:rPr>
      <w:noProof/>
      <w:lang w:val="en-US"/>
    </w:rPr>
  </w:style>
  <w:style w:type="character" w:customStyle="1" w:styleId="EndNoteBibliographyChar">
    <w:name w:val="EndNote Bibliography Char"/>
    <w:basedOn w:val="DefaultParagraphFont"/>
    <w:link w:val="EndNoteBibliography"/>
    <w:rsid w:val="00B7621E"/>
    <w:rPr>
      <w:rFonts w:ascii="Times New Roman" w:eastAsia="Times New Roman" w:hAnsi="Times New Roman" w:cs="Times New Roman"/>
      <w:noProof/>
      <w:sz w:val="24"/>
      <w:szCs w:val="24"/>
      <w:lang w:val="en-US" w:eastAsia="en-US"/>
    </w:rPr>
  </w:style>
  <w:style w:type="paragraph" w:styleId="Caption">
    <w:name w:val="caption"/>
    <w:basedOn w:val="Normal"/>
    <w:next w:val="Normal"/>
    <w:uiPriority w:val="35"/>
    <w:unhideWhenUsed/>
    <w:qFormat/>
    <w:rsid w:val="00574402"/>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F054D4"/>
    <w:rPr>
      <w:sz w:val="20"/>
      <w:szCs w:val="20"/>
    </w:rPr>
  </w:style>
  <w:style w:type="character" w:customStyle="1" w:styleId="EndnoteTextChar">
    <w:name w:val="Endnote Text Char"/>
    <w:basedOn w:val="DefaultParagraphFont"/>
    <w:link w:val="EndnoteText"/>
    <w:uiPriority w:val="99"/>
    <w:semiHidden/>
    <w:rsid w:val="00F054D4"/>
    <w:rPr>
      <w:rFonts w:ascii="Times New Roman" w:eastAsia="Times New Roman" w:hAnsi="Times New Roman" w:cs="Times New Roman"/>
      <w:sz w:val="20"/>
      <w:szCs w:val="20"/>
      <w:lang w:val="en-AU" w:eastAsia="en-US"/>
    </w:rPr>
  </w:style>
  <w:style w:type="character" w:styleId="EndnoteReference">
    <w:name w:val="endnote reference"/>
    <w:basedOn w:val="DefaultParagraphFont"/>
    <w:uiPriority w:val="99"/>
    <w:semiHidden/>
    <w:unhideWhenUsed/>
    <w:rsid w:val="00F054D4"/>
    <w:rPr>
      <w:vertAlign w:val="superscript"/>
    </w:rPr>
  </w:style>
  <w:style w:type="character" w:styleId="Hyperlink">
    <w:name w:val="Hyperlink"/>
    <w:basedOn w:val="DefaultParagraphFont"/>
    <w:uiPriority w:val="99"/>
    <w:unhideWhenUsed/>
    <w:rsid w:val="00F054D4"/>
    <w:rPr>
      <w:color w:val="0563C1" w:themeColor="hyperlink"/>
      <w:u w:val="single"/>
    </w:rPr>
  </w:style>
  <w:style w:type="character" w:styleId="UnresolvedMention">
    <w:name w:val="Unresolved Mention"/>
    <w:basedOn w:val="DefaultParagraphFont"/>
    <w:uiPriority w:val="99"/>
    <w:semiHidden/>
    <w:unhideWhenUsed/>
    <w:rsid w:val="00F0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57866">
      <w:bodyDiv w:val="1"/>
      <w:marLeft w:val="0"/>
      <w:marRight w:val="0"/>
      <w:marTop w:val="0"/>
      <w:marBottom w:val="0"/>
      <w:divBdr>
        <w:top w:val="none" w:sz="0" w:space="0" w:color="auto"/>
        <w:left w:val="none" w:sz="0" w:space="0" w:color="auto"/>
        <w:bottom w:val="none" w:sz="0" w:space="0" w:color="auto"/>
        <w:right w:val="none" w:sz="0" w:space="0" w:color="auto"/>
      </w:divBdr>
    </w:div>
    <w:div w:id="1062601138">
      <w:bodyDiv w:val="1"/>
      <w:marLeft w:val="0"/>
      <w:marRight w:val="0"/>
      <w:marTop w:val="0"/>
      <w:marBottom w:val="0"/>
      <w:divBdr>
        <w:top w:val="none" w:sz="0" w:space="0" w:color="auto"/>
        <w:left w:val="none" w:sz="0" w:space="0" w:color="auto"/>
        <w:bottom w:val="none" w:sz="0" w:space="0" w:color="auto"/>
        <w:right w:val="none" w:sz="0" w:space="0" w:color="auto"/>
      </w:divBdr>
      <w:divsChild>
        <w:div w:id="963927371">
          <w:marLeft w:val="0"/>
          <w:marRight w:val="0"/>
          <w:marTop w:val="0"/>
          <w:marBottom w:val="0"/>
          <w:divBdr>
            <w:top w:val="none" w:sz="0" w:space="0" w:color="auto"/>
            <w:left w:val="none" w:sz="0" w:space="0" w:color="auto"/>
            <w:bottom w:val="none" w:sz="0" w:space="0" w:color="auto"/>
            <w:right w:val="none" w:sz="0" w:space="0" w:color="auto"/>
          </w:divBdr>
        </w:div>
        <w:div w:id="1361206818">
          <w:marLeft w:val="0"/>
          <w:marRight w:val="0"/>
          <w:marTop w:val="0"/>
          <w:marBottom w:val="0"/>
          <w:divBdr>
            <w:top w:val="none" w:sz="0" w:space="0" w:color="auto"/>
            <w:left w:val="none" w:sz="0" w:space="0" w:color="auto"/>
            <w:bottom w:val="none" w:sz="0" w:space="0" w:color="auto"/>
            <w:right w:val="none" w:sz="0" w:space="0" w:color="auto"/>
          </w:divBdr>
        </w:div>
        <w:div w:id="47803834">
          <w:marLeft w:val="0"/>
          <w:marRight w:val="0"/>
          <w:marTop w:val="0"/>
          <w:marBottom w:val="0"/>
          <w:divBdr>
            <w:top w:val="none" w:sz="0" w:space="0" w:color="auto"/>
            <w:left w:val="none" w:sz="0" w:space="0" w:color="auto"/>
            <w:bottom w:val="none" w:sz="0" w:space="0" w:color="auto"/>
            <w:right w:val="none" w:sz="0" w:space="0" w:color="auto"/>
          </w:divBdr>
        </w:div>
        <w:div w:id="127675784">
          <w:marLeft w:val="0"/>
          <w:marRight w:val="0"/>
          <w:marTop w:val="0"/>
          <w:marBottom w:val="0"/>
          <w:divBdr>
            <w:top w:val="none" w:sz="0" w:space="0" w:color="auto"/>
            <w:left w:val="none" w:sz="0" w:space="0" w:color="auto"/>
            <w:bottom w:val="none" w:sz="0" w:space="0" w:color="auto"/>
            <w:right w:val="none" w:sz="0" w:space="0" w:color="auto"/>
          </w:divBdr>
        </w:div>
      </w:divsChild>
    </w:div>
    <w:div w:id="13230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design.tutsplus.com/articles/8-golden-rules-for-better-interface-design--cms-30886"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nvestopedia.com/terms/e/ecommer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4E7A-D34F-4E72-BC0E-596C639D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Diane.Strode</dc:creator>
  <cp:keywords/>
  <dc:description/>
  <cp:lastModifiedBy>Diane Strode</cp:lastModifiedBy>
  <cp:revision>2</cp:revision>
  <dcterms:created xsi:type="dcterms:W3CDTF">2022-04-27T03:48:00Z</dcterms:created>
  <dcterms:modified xsi:type="dcterms:W3CDTF">2022-04-27T03:48:00Z</dcterms:modified>
</cp:coreProperties>
</file>